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AEBF2" w14:textId="6EE7D8E5" w:rsidR="00046A16" w:rsidRPr="00046A16" w:rsidRDefault="00046A16" w:rsidP="00046A16">
      <w:pPr>
        <w:spacing w:before="100" w:beforeAutospacing="1" w:after="100" w:afterAutospacing="1" w:line="240" w:lineRule="auto"/>
        <w:outlineLvl w:val="3"/>
        <w:rPr>
          <w:rFonts w:ascii="Calibri" w:eastAsia="Times New Roman" w:hAnsi="Calibri" w:cs="Calibri"/>
          <w:b/>
          <w:bCs/>
          <w:color w:val="94194F"/>
          <w:kern w:val="0"/>
          <w:sz w:val="40"/>
          <w:szCs w:val="40"/>
          <w:lang w:eastAsia="de-AT"/>
          <w14:ligatures w14:val="none"/>
        </w:rPr>
      </w:pPr>
      <w:r w:rsidRPr="00046A16">
        <w:rPr>
          <w:rFonts w:ascii="Calibri" w:eastAsia="Times New Roman" w:hAnsi="Calibri" w:cs="Calibri"/>
          <w:b/>
          <w:bCs/>
          <w:color w:val="94194F"/>
          <w:kern w:val="0"/>
          <w:sz w:val="40"/>
          <w:szCs w:val="40"/>
          <w:lang w:eastAsia="de-AT"/>
          <w14:ligatures w14:val="none"/>
        </w:rPr>
        <w:t xml:space="preserve">„Fuck </w:t>
      </w:r>
      <w:proofErr w:type="spellStart"/>
      <w:r w:rsidRPr="00046A16">
        <w:rPr>
          <w:rFonts w:ascii="Calibri" w:eastAsia="Times New Roman" w:hAnsi="Calibri" w:cs="Calibri"/>
          <w:b/>
          <w:bCs/>
          <w:color w:val="94194F"/>
          <w:kern w:val="0"/>
          <w:sz w:val="40"/>
          <w:szCs w:val="40"/>
          <w:lang w:eastAsia="de-AT"/>
          <w14:ligatures w14:val="none"/>
        </w:rPr>
        <w:t>you</w:t>
      </w:r>
      <w:proofErr w:type="spellEnd"/>
      <w:r w:rsidRPr="00046A16">
        <w:rPr>
          <w:rFonts w:ascii="Calibri" w:eastAsia="Times New Roman" w:hAnsi="Calibri" w:cs="Calibri"/>
          <w:b/>
          <w:bCs/>
          <w:color w:val="94194F"/>
          <w:kern w:val="0"/>
          <w:sz w:val="40"/>
          <w:szCs w:val="40"/>
          <w:lang w:eastAsia="de-AT"/>
          <w14:ligatures w14:val="none"/>
        </w:rPr>
        <w:t>“</w:t>
      </w:r>
      <w:r>
        <w:rPr>
          <w:rFonts w:ascii="Calibri" w:eastAsia="Times New Roman" w:hAnsi="Calibri" w:cs="Calibri"/>
          <w:b/>
          <w:bCs/>
          <w:color w:val="94194F"/>
          <w:kern w:val="0"/>
          <w:sz w:val="40"/>
          <w:szCs w:val="40"/>
          <w:lang w:eastAsia="de-AT"/>
          <w14:ligatures w14:val="none"/>
        </w:rPr>
        <w:t xml:space="preserve"> - </w:t>
      </w:r>
      <w:r w:rsidRPr="00046A16">
        <w:rPr>
          <w:rFonts w:ascii="Calibri" w:eastAsia="Times New Roman" w:hAnsi="Calibri" w:cs="Calibri"/>
          <w:b/>
          <w:bCs/>
          <w:color w:val="94194F"/>
          <w:kern w:val="0"/>
          <w:sz w:val="40"/>
          <w:szCs w:val="40"/>
          <w:lang w:eastAsia="de-AT"/>
          <w14:ligatures w14:val="none"/>
        </w:rPr>
        <w:t>Beinahe eine Buchrezension zum Internationalen Frauentag 2017</w:t>
      </w:r>
      <w:r w:rsidRPr="00046A16">
        <w:rPr>
          <w:rFonts w:ascii="Calibri" w:eastAsia="Times New Roman" w:hAnsi="Calibri" w:cs="Calibri"/>
          <w:b/>
          <w:bCs/>
          <w:color w:val="94194F"/>
          <w:kern w:val="0"/>
          <w:sz w:val="40"/>
          <w:szCs w:val="40"/>
          <w:lang w:eastAsia="de-AT"/>
          <w14:ligatures w14:val="none"/>
        </w:rPr>
        <w:br/>
      </w:r>
      <w:r w:rsidRPr="00046A16">
        <w:rPr>
          <w:rFonts w:ascii="Calibri" w:eastAsia="Times New Roman" w:hAnsi="Calibri" w:cs="Calibri"/>
          <w:b/>
          <w:bCs/>
          <w:i/>
          <w:iCs/>
          <w:color w:val="94194F"/>
          <w:kern w:val="0"/>
          <w:sz w:val="40"/>
          <w:szCs w:val="40"/>
          <w:lang w:eastAsia="de-AT"/>
          <w14:ligatures w14:val="none"/>
        </w:rPr>
        <w:t>von Luise Gubitzer</w:t>
      </w:r>
    </w:p>
    <w:p w14:paraId="4A1A58BB" w14:textId="77777777" w:rsidR="00046A16" w:rsidRDefault="00046A16" w:rsidP="00046A16">
      <w:pPr>
        <w:pStyle w:val="wp-block-paragraph"/>
        <w:jc w:val="both"/>
      </w:pPr>
      <w:r>
        <w:t xml:space="preserve">„Eine Poesie des „Fuck </w:t>
      </w:r>
      <w:proofErr w:type="spellStart"/>
      <w:r>
        <w:t>you</w:t>
      </w:r>
      <w:proofErr w:type="spellEnd"/>
      <w:r>
        <w:t>““ ist die Überschrift eines Kapitels in dem 2016 erschienenen Buch einer jungen Feministin, Margarete Stokowski, mit dem Titel „Untenrum frei“.</w:t>
      </w:r>
    </w:p>
    <w:p w14:paraId="6FCAEA6D" w14:textId="77777777" w:rsidR="00046A16" w:rsidRDefault="00046A16" w:rsidP="00046A16">
      <w:pPr>
        <w:pStyle w:val="wp-block-paragraph"/>
        <w:jc w:val="both"/>
      </w:pPr>
      <w:r>
        <w:t xml:space="preserve">An unterschiedlichen Stellen des Buches erklärt </w:t>
      </w:r>
      <w:proofErr w:type="gramStart"/>
      <w:r>
        <w:t>sie</w:t>
      </w:r>
      <w:proofErr w:type="gramEnd"/>
      <w:r>
        <w:t xml:space="preserve"> warum sie Feministin geworden ist. Ein Grund ist, weil sie anerkennt und dankbar ist für das, was andere Feministinnen früher für sie erkämpft haben, von dem sie heute profitiert. Es sind vor allem die Freiheit von und die Freiheit zu. Feministinnen haben erkämpft, frei von patriarchalen Abhängigkeiten zu sein, die Freiheit zu wählen und gewählt zu werden, die Freiheit einer Erwerbsarbeit nachzugehen, ein eigenes Einkommen zu erzielen und darüber frei zu verfügen, die Freiheit sich jede Art von Bildung anzueignen und jede Art von Beruf auszuüben, die Freiheit über den eigenen Körper zu verfügen. All diese Freiheiten werden durch Gesetze gewährt, durch eine demokratisch legitimierte Rechtsordnung und Rechtsinstanzen. Ab der </w:t>
      </w:r>
      <w:proofErr w:type="spellStart"/>
      <w:r>
        <w:t>Erkämpfung</w:t>
      </w:r>
      <w:proofErr w:type="spellEnd"/>
      <w:r>
        <w:t xml:space="preserve"> des Wahlrechts haben Frauen die Rechtsordnung und die Demokratie wesentlich mitgestaltet, weil gilt: eine Person eine Stimme.</w:t>
      </w:r>
    </w:p>
    <w:p w14:paraId="56905866" w14:textId="77777777" w:rsidR="00046A16" w:rsidRDefault="00046A16" w:rsidP="00046A16">
      <w:pPr>
        <w:pStyle w:val="wp-block-paragraph"/>
        <w:jc w:val="both"/>
      </w:pPr>
      <w:r>
        <w:t>Ich denke, bei Wahlen ist das noch immer so. Aber, was davor und danach geschieht, ist nicht so. Wer mehr Geld hat, hat mehr Einfluss. Und das sind mehrheitlich nicht Frauen. Weder als Eigentümerinnen von großen Vermögen noch als Entscheiderinnen über große Beträge im Topmanagement.</w:t>
      </w:r>
      <w:r>
        <w:br/>
      </w:r>
      <w:proofErr w:type="gramStart"/>
      <w:r>
        <w:t>Vor</w:t>
      </w:r>
      <w:proofErr w:type="gramEnd"/>
      <w:r>
        <w:t xml:space="preserve"> und nach Wahlen geschieht Entscheidendes. Einflussnahme erfolgt z.B. durch Netzwerke, früher haben Frauen das Patriarchat genannt. Mit dieser werden Wahlen gewonnen und danach werden interessensgeleitete Gesetze beschlossen, Verträge abgeschlossen und erfolgt die Hinterfragung von Entscheiden Oberster Gerichte. Dabei geht es </w:t>
      </w:r>
      <w:proofErr w:type="spellStart"/>
      <w:r>
        <w:t>großteils</w:t>
      </w:r>
      <w:proofErr w:type="spellEnd"/>
      <w:r>
        <w:t xml:space="preserve"> noch nicht um Gleichstellungsgesetze. Aber es geht um die Untergrabung der Demokratie und der Rechtsordnung und daher sollten Frauen ihre Stimme erheben, die Gefahren zur Sprache bringen und die Vorgänge beeinspruchen.</w:t>
      </w:r>
    </w:p>
    <w:p w14:paraId="7A9C242E" w14:textId="77777777" w:rsidR="00046A16" w:rsidRDefault="00046A16" w:rsidP="00046A16">
      <w:pPr>
        <w:pStyle w:val="wp-block-paragraph"/>
        <w:jc w:val="both"/>
      </w:pPr>
      <w:r>
        <w:t xml:space="preserve">Das Bundesverwaltungsgericht hat die Aufgabe zu prüfen, ob ein Bescheid auf Basis von Verträgen und Gesetzen verfahrensgemäß erfolgt ist. Er prüft das gesetzmäßige Handeln von Verwaltungsbehörden. So hat er das auch bei der Prüfung des Baus einer dritten Piste am Wiener Flughafen getan. Alle Unterlagen, die er herangezogen hat, wurden </w:t>
      </w:r>
      <w:proofErr w:type="gramStart"/>
      <w:r>
        <w:t xml:space="preserve">von demokratisch gewählten </w:t>
      </w:r>
      <w:proofErr w:type="spellStart"/>
      <w:r>
        <w:t>Politiker</w:t>
      </w:r>
      <w:proofErr w:type="gramEnd"/>
      <w:r>
        <w:t>_innen</w:t>
      </w:r>
      <w:proofErr w:type="spellEnd"/>
      <w:r>
        <w:t xml:space="preserve"> beschlossen und unterzeichnet. Und jetzt sind es demokratisch gewählte Politiker, die diesen Entscheid auf das Schärfste kritisieren. Was geschieht da? Dass diverse Manager und Kämmerer den Entscheid kritisieren, wundert mich nicht. Sie haben Geschäft, Umsatz, Gewinne, Macht im Kopf. Aber demokratisch-legitimierte Politiker?</w:t>
      </w:r>
    </w:p>
    <w:p w14:paraId="532504D3" w14:textId="77777777" w:rsidR="00046A16" w:rsidRDefault="00046A16" w:rsidP="00046A16">
      <w:pPr>
        <w:pStyle w:val="wp-block-paragraph"/>
        <w:jc w:val="both"/>
      </w:pPr>
      <w:r>
        <w:t xml:space="preserve">Das ist nur ein aktuelles Beispiel für Vorgänge in Österreich. Auf EU-Ebene ist ein Beispiel die Nicht-Reaktion der EU als in Rumänien das Antikorruptionsgesetz novelliert werden sollte. Nicht EU-Gremien haben das massiv beeinsprucht, sondern die Bevölkerung Rumäniens hat die Zurücknahme erreicht. Auf wie lange? Die EU lässt zu was mit der demokratischen Rechtsordnung in Polen und in Ungarn geschieht und sie macht Verträge mit jenem Mann, der fundamentale Rechte außer Kraft setzt und gegen 2854 </w:t>
      </w:r>
      <w:proofErr w:type="spellStart"/>
      <w:r>
        <w:t>Richter_innen</w:t>
      </w:r>
      <w:proofErr w:type="spellEnd"/>
      <w:r>
        <w:t xml:space="preserve"> und </w:t>
      </w:r>
      <w:proofErr w:type="spellStart"/>
      <w:r>
        <w:t>Staatsanwält_innen</w:t>
      </w:r>
      <w:proofErr w:type="spellEnd"/>
      <w:r>
        <w:t xml:space="preserve"> Haftbefehle erließ, mit dem türkischen Staatspräsidenten Erdogan. Demokratisches Recht ist durch Politiker und auch durch manche Politikinnen, wie Marine Le Pen, gefährdet.</w:t>
      </w:r>
    </w:p>
    <w:p w14:paraId="4E370644" w14:textId="77777777" w:rsidR="00046A16" w:rsidRDefault="00046A16" w:rsidP="00046A16">
      <w:pPr>
        <w:pStyle w:val="wp-block-paragraph"/>
        <w:jc w:val="both"/>
      </w:pPr>
      <w:r>
        <w:lastRenderedPageBreak/>
        <w:t xml:space="preserve">Recht ist aber auch gefährdet durch Unternehmen, die über Parteienfinanzierung, Medienbesitz, Bezahlung teurer Lobbyisten </w:t>
      </w:r>
      <w:proofErr w:type="spellStart"/>
      <w:r>
        <w:t>Politiker_innen</w:t>
      </w:r>
      <w:proofErr w:type="spellEnd"/>
      <w:r>
        <w:t xml:space="preserve"> für ihre Interessen gewinnen. Das offensichtlichste Beispiel sind die Vorgänge in den USA. Hunderttausende Frauen mit pinkfarbenen „Pussy-Hats“ sind dagegen beim „Frauenmarsch auf Washington“ im Jänner 2017 auf die Straße gegangen.</w:t>
      </w:r>
    </w:p>
    <w:p w14:paraId="2FF842F5" w14:textId="77777777" w:rsidR="00046A16" w:rsidRDefault="00046A16" w:rsidP="00046A16">
      <w:pPr>
        <w:pStyle w:val="wp-block-paragraph"/>
        <w:jc w:val="both"/>
      </w:pPr>
      <w:r>
        <w:t xml:space="preserve">Die Rechtsordnung wird sowohl von </w:t>
      </w:r>
      <w:proofErr w:type="spellStart"/>
      <w:r>
        <w:t>Politiker_innen</w:t>
      </w:r>
      <w:proofErr w:type="spellEnd"/>
      <w:r>
        <w:t xml:space="preserve"> als auch von Unternehmen und Vermögenden massiv für ihre Interessen umgestaltet. Sowohl der </w:t>
      </w:r>
      <w:proofErr w:type="gramStart"/>
      <w:r>
        <w:t>Vorgang,</w:t>
      </w:r>
      <w:proofErr w:type="gramEnd"/>
      <w:r>
        <w:t xml:space="preserve"> als auch die Ergebnisse sind alarmierend. Recht und Demokratie sind die zwei Fundamente, die Frauen die Freiheit von und die Freiheit zu ermöglichen. „Fuck </w:t>
      </w:r>
      <w:proofErr w:type="spellStart"/>
      <w:r>
        <w:t>you</w:t>
      </w:r>
      <w:proofErr w:type="spellEnd"/>
      <w:r>
        <w:t>“ ist notwendig und nicht nur „eigentlich</w:t>
      </w:r>
      <w:proofErr w:type="gramStart"/>
      <w:r>
        <w:t>“</w:t>
      </w:r>
      <w:proofErr w:type="gramEnd"/>
      <w:r>
        <w:t xml:space="preserve"> sondern wirklich, wenn diese gefährdet sind.</w:t>
      </w:r>
    </w:p>
    <w:p w14:paraId="622D8C31" w14:textId="77777777" w:rsidR="00046A16" w:rsidRDefault="00046A16" w:rsidP="00046A16">
      <w:pPr>
        <w:pStyle w:val="wp-block-paragraph"/>
        <w:jc w:val="both"/>
      </w:pPr>
      <w:r>
        <w:t>In Kapitel 6 verweist Margarete Stokowski auf einen Text von Kurt Tucholsky aus 1928 in dem steht, dass „eigentlich“ kein Wort, sondern eine Lebensauffassung sei.</w:t>
      </w:r>
    </w:p>
    <w:p w14:paraId="08680FD1" w14:textId="77777777" w:rsidR="00046A16" w:rsidRDefault="00046A16" w:rsidP="00046A16">
      <w:pPr>
        <w:pStyle w:val="wp-block-paragraph"/>
        <w:jc w:val="both"/>
      </w:pPr>
      <w:r>
        <w:t xml:space="preserve">Menschen leben vor sich hin, </w:t>
      </w:r>
      <w:proofErr w:type="gramStart"/>
      <w:r>
        <w:t>sagen</w:t>
      </w:r>
      <w:proofErr w:type="gramEnd"/>
      <w:r>
        <w:t xml:space="preserve"> aber „eigentlich“ seien sie was völlig anderes: Rebellen, Dichter. Sie schreibt: „In den schwachen Momenten neigen wir dazu, unsere Haltung hinter einen Satz zu schieben, der mit „eigentlich“ anfängt und dabei zu vergessen, was unsere Handlungsmöglichkeit wäre, das heißt: was unsere Freiheit ist. Für diese Momente hilft es, eine Poesie des „Fuck </w:t>
      </w:r>
      <w:proofErr w:type="spellStart"/>
      <w:r>
        <w:t>you</w:t>
      </w:r>
      <w:proofErr w:type="spellEnd"/>
      <w:r>
        <w:t xml:space="preserve">“ zu entwickeln und in sich zu tragen, wie ein Mantra“ (S.189). So könne die eigene Handlungsfähigkeit erhalten bleiben und Frauen sich erinnern, wofür sie stehen. Das „Fuck </w:t>
      </w:r>
      <w:proofErr w:type="spellStart"/>
      <w:r>
        <w:t>you</w:t>
      </w:r>
      <w:proofErr w:type="spellEnd"/>
      <w:r>
        <w:t>“ kann eine „magische Formel“ sein, die stärkt „für unsere Ziele zu kämpfen“. „Ein Großteil feministischen Handelns besteht darin, sich nicht verarschen zu lassen.“ Nicht durch Ablenkung, nicht durch Beschimpfung, nicht durch Verbreitung von Mythen, Vorurteilen und Klischees, nicht durch den Vorwurf der Übertreibung der „</w:t>
      </w:r>
      <w:proofErr w:type="spellStart"/>
      <w:r>
        <w:t>political</w:t>
      </w:r>
      <w:proofErr w:type="spellEnd"/>
      <w:r>
        <w:t xml:space="preserve"> </w:t>
      </w:r>
      <w:proofErr w:type="spellStart"/>
      <w:r>
        <w:t>correctness</w:t>
      </w:r>
      <w:proofErr w:type="spellEnd"/>
      <w:r>
        <w:t xml:space="preserve">“ durch geschlechtersensible Sprache. Es gibt konstruktive Kritik und es gibt „Fuck </w:t>
      </w:r>
      <w:proofErr w:type="spellStart"/>
      <w:r>
        <w:t>you</w:t>
      </w:r>
      <w:proofErr w:type="spellEnd"/>
      <w:r>
        <w:t xml:space="preserve">- Anwärter*innen“ (S. 190). Das „Fuck </w:t>
      </w:r>
      <w:proofErr w:type="spellStart"/>
      <w:r>
        <w:t>you</w:t>
      </w:r>
      <w:proofErr w:type="spellEnd"/>
      <w:r>
        <w:t xml:space="preserve">“ kann daher eingesetzt werden als Mantra, zur Gelassenheit gegenüber Kritik, zur </w:t>
      </w:r>
      <w:proofErr w:type="gramStart"/>
      <w:r>
        <w:t>Selbstvergewisserung</w:t>
      </w:r>
      <w:proofErr w:type="gramEnd"/>
      <w:r>
        <w:t xml:space="preserve"> um die Stimme zu erheben und um </w:t>
      </w:r>
      <w:proofErr w:type="gramStart"/>
      <w:r>
        <w:t>klar zu machen</w:t>
      </w:r>
      <w:proofErr w:type="gramEnd"/>
      <w:r>
        <w:t>: Mit mir nicht.</w:t>
      </w:r>
    </w:p>
    <w:p w14:paraId="1B337A81" w14:textId="77777777" w:rsidR="00046A16" w:rsidRDefault="00046A16" w:rsidP="00046A16">
      <w:pPr>
        <w:pStyle w:val="wp-block-paragraph"/>
        <w:jc w:val="both"/>
      </w:pPr>
      <w:r>
        <w:t xml:space="preserve">Mit dem Mantra „Fuck </w:t>
      </w:r>
      <w:proofErr w:type="spellStart"/>
      <w:r>
        <w:t>you</w:t>
      </w:r>
      <w:proofErr w:type="spellEnd"/>
      <w:r>
        <w:t>“ sollen sich Frauen stärken, wenn sie unsicher werden, ob der Feminismus noch gebraucht wird. Denn die Kritik gegenüber Feministinnen ist wieder härter geworden. Feministinnen würden „übertreiben“, verhielten sich „bescheuert“, seien „anstrengend“, hätten kein Verständnis für Notwendigkeiten wie zum Beispiel für die, dass so viele Männer Präsidenten seien oder in Vorstandsetagen sitzen, weil es keine qualifizierten Frauen gäbe; oder dafür, dass es eben eine Notstandsverordnung und ein Fremdenrechtspaket, eine Sicherheitsdoktrin und eine dritte Startbahn am Wiener Flughafen braucht.</w:t>
      </w:r>
    </w:p>
    <w:p w14:paraId="20EF5579" w14:textId="77777777" w:rsidR="00046A16" w:rsidRDefault="00046A16" w:rsidP="00046A16">
      <w:pPr>
        <w:pStyle w:val="wp-block-paragraph"/>
        <w:jc w:val="both"/>
      </w:pPr>
      <w:r>
        <w:t xml:space="preserve">Der Feminismus würde im 21. Jahrhundert in Europa nicht mehr gebraucht werden, wird behauptet. Jene, die das meinen fragt sie: „Heißt das, Du glaubst, das hier ist der Endzustand?“ (S. 193): Die 22% Gender Wage Gap; der geringe Anteil von Frauen in Führungspositionen; 12 Stunden Erwerbsarbeit pro Tag; die sexuelle Gewalt gegen Frauen; die Art, wie wir leben; die Präsidenten Orban, Duda, Erdogan in Europa und Trump in den USA? Das alles soll „das abschließende Ergebnis aller Kämpfe und Diskussionen um Gleichstellung sein?“ (S. 193) Sie meint, dass es das nicht sein kann und schreibt: „Ich will nicht, dass Olympe de </w:t>
      </w:r>
      <w:proofErr w:type="spellStart"/>
      <w:r>
        <w:t>Gouges</w:t>
      </w:r>
      <w:proofErr w:type="spellEnd"/>
      <w:r>
        <w:t xml:space="preserve"> (1748-1793) ihren Kopf dafür hergeben musste, dass wir uns heute umschauen und sagen: Mehr geht nicht. Wir würden damit alle verarschen, die uns </w:t>
      </w:r>
      <w:proofErr w:type="gramStart"/>
      <w:r>
        <w:t>hierher gebracht</w:t>
      </w:r>
      <w:proofErr w:type="gramEnd"/>
      <w:r>
        <w:t xml:space="preserve"> haben, und ich verarsche nicht gerne Menschen, die etwas für mich getan haben. Also machen wir weiter, und wir brauchen keine Erlaubnis dafür: „I </w:t>
      </w:r>
      <w:proofErr w:type="spellStart"/>
      <w:r>
        <w:t>need</w:t>
      </w:r>
      <w:proofErr w:type="spellEnd"/>
      <w:r>
        <w:t xml:space="preserve"> </w:t>
      </w:r>
      <w:proofErr w:type="spellStart"/>
      <w:r>
        <w:t>no</w:t>
      </w:r>
      <w:proofErr w:type="spellEnd"/>
      <w:r>
        <w:t xml:space="preserve"> </w:t>
      </w:r>
      <w:proofErr w:type="spellStart"/>
      <w:r>
        <w:t>permission</w:t>
      </w:r>
      <w:proofErr w:type="spellEnd"/>
      <w:r>
        <w:t xml:space="preserve">, </w:t>
      </w:r>
      <w:proofErr w:type="spellStart"/>
      <w:r>
        <w:t>did</w:t>
      </w:r>
      <w:proofErr w:type="spellEnd"/>
      <w:r>
        <w:t xml:space="preserve"> I </w:t>
      </w:r>
      <w:proofErr w:type="spellStart"/>
      <w:r>
        <w:t>mention</w:t>
      </w:r>
      <w:proofErr w:type="spellEnd"/>
      <w:r>
        <w:t>“ zitiert sie Beyoncé“ (S. 193).</w:t>
      </w:r>
    </w:p>
    <w:p w14:paraId="18AEB5B0" w14:textId="77777777" w:rsidR="00046A16" w:rsidRDefault="00046A16" w:rsidP="00046A16">
      <w:pPr>
        <w:pStyle w:val="wp-block-paragraph"/>
        <w:jc w:val="both"/>
      </w:pPr>
      <w:r>
        <w:lastRenderedPageBreak/>
        <w:t>Wichtig ist, dass Frauen nicht aufhören Zustände, die ungerecht sind als Ungerechtigkeit zu sehen, darüber Wut zu empfinden und diese auch auszudrücken. Solche Zustände sind kein Naturgesetz, kein Sachzwang, keine Notwendigkeit, dass sie so sein müssen. Sie sind zu verändern.</w:t>
      </w:r>
      <w:r>
        <w:br/>
        <w:t xml:space="preserve">Hannah Arendt (1958/1994, S. 180) schreibt, dass „das Handeln und Sprechen … sich in dem Bezugsgewebe zwischen den Menschen“ vollzieht. Mit „politisch handeln“ wird ein eigener Faden in das gesellschaftliche Gewebe gewebt, das man nicht selbst gemacht hat. Ein solches Gewebe ist der Feminismus. Ein Gewebe, das unsere feministischen Ahninnen begonnen haben zu weben. In </w:t>
      </w:r>
      <w:proofErr w:type="gramStart"/>
      <w:r>
        <w:t>dieses weben</w:t>
      </w:r>
      <w:proofErr w:type="gramEnd"/>
      <w:r>
        <w:t xml:space="preserve"> sich junge Feministinnen ein und entwickeln und tragen den Feminismus weiter. Das tun sie unter anderem in dem sie das Wort ergreifen. Und sei es nur mit einem „Fuck </w:t>
      </w:r>
      <w:proofErr w:type="spellStart"/>
      <w:r>
        <w:t>you</w:t>
      </w:r>
      <w:proofErr w:type="spellEnd"/>
      <w:r>
        <w:t>“.</w:t>
      </w:r>
    </w:p>
    <w:p w14:paraId="017CD34B" w14:textId="77777777" w:rsidR="00046A16" w:rsidRDefault="00046A16" w:rsidP="00046A16">
      <w:pPr>
        <w:pStyle w:val="wp-block-paragraph"/>
        <w:jc w:val="both"/>
      </w:pPr>
      <w:r>
        <w:t xml:space="preserve">Durch das öffentliche Bildungssystem, das Feministinnen miterkämpft haben, sind viele Frauen sprach-, kritik-, und reflexionsfähig geworden. Manche, wie Frau Stokowski, melden sich daher „radikal“ zu Wort. Was für sie bedeutet, dass man genau und präzise sagt, was man </w:t>
      </w:r>
      <w:proofErr w:type="gramStart"/>
      <w:r>
        <w:t>meint</w:t>
      </w:r>
      <w:proofErr w:type="gramEnd"/>
      <w:r>
        <w:t xml:space="preserve"> und was ist. Sprache ist das, was wir teilen. Über Sprache sind wir fähig uns mit anderen zu verständigen. „Aber die </w:t>
      </w:r>
      <w:proofErr w:type="gramStart"/>
      <w:r>
        <w:t>Sprache</w:t>
      </w:r>
      <w:proofErr w:type="gramEnd"/>
      <w:r>
        <w:t xml:space="preserve"> mit der ich das alles formuliere, ist nicht meine, ich habe die Worte nicht erfunden, ich leihe sie mir nur aus und gebe sie an die Welt weiter“ (S. 196) Damit sich Frauen wie sie, Worte leihen können, ist es notwendig, dass es auch weiterhin feministische Forschung gibt in allen Bereichen. Auch und gerade in der Ökonomie. Denn Feministische Ökonomie gibt Wissenschaftlerinnen die Möglichkeit Ökonomie anders zu denken, neue Begriffe zu entwickeln, ungerechte Zustände sprachlich zu benennen und Maßnahmen zu deren Veränderung zu formulieren. Aber auch dazu braucht es die rechtlich gesicherte Forschungsfreiheit.</w:t>
      </w:r>
    </w:p>
    <w:p w14:paraId="2CC29A1F" w14:textId="77777777" w:rsidR="00046A16" w:rsidRDefault="00046A16" w:rsidP="00046A16">
      <w:pPr>
        <w:pStyle w:val="wp-block-paragraph"/>
        <w:jc w:val="both"/>
      </w:pPr>
      <w:r>
        <w:t>Margarete Stokowski schließt ihr Buch mit dem Satz: „Ich habe an das Aufstehen und an das Liegenbleiben geglaubt, an die Ruhe und den Sturm, und ich weiß nicht, was noch kommt und woran ich in meinem Leben noch glauben werde, aber ganz sicher niemals ans Schweigen.“ (230).</w:t>
      </w:r>
      <w:r>
        <w:br/>
      </w:r>
      <w:r>
        <w:br/>
        <w:t>Die Aufrechterhaltung und Weiterentwicklung der Demokratie, ihrer Rechtsordnung, und Rechtsorgane ist die Voraussetzung das Frauenrechte gewährt sind. National, supranational und international ist das keine Selbstverständlichkeit – mehr. Es gibt Entwicklungen, die die Demokratie und die demokratische Rechtsordnung als altmodisch, überholt, ja als dekadent erscheinen lassen. Politiker machen sich breit, die für sich das Führerprinzip in Anspruch nehmen und die den Rechtsstaat als „Normenstaat“ in einen „Maßnahmenstaat“, einen „Repressionsstaat“ umändern.</w:t>
      </w:r>
      <w:r>
        <w:br/>
      </w:r>
      <w:r>
        <w:br/>
        <w:t>Feminismus ist international, vielfältig, aber niemals neutral und schweigsam.</w:t>
      </w:r>
      <w:r>
        <w:br/>
      </w:r>
      <w:r>
        <w:br/>
        <w:t>Auch dazu nicht.</w:t>
      </w:r>
    </w:p>
    <w:p w14:paraId="6B969BFE" w14:textId="5D9CBB10" w:rsidR="009D5F7A" w:rsidRPr="00046A16" w:rsidRDefault="009D5F7A" w:rsidP="00046A16">
      <w:pPr>
        <w:jc w:val="both"/>
      </w:pPr>
    </w:p>
    <w:sectPr w:rsidR="009D5F7A" w:rsidRPr="00046A1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A16"/>
    <w:rsid w:val="00046A16"/>
    <w:rsid w:val="00554B26"/>
    <w:rsid w:val="006D46FB"/>
    <w:rsid w:val="009D5F7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C5FAF"/>
  <w15:chartTrackingRefBased/>
  <w15:docId w15:val="{3F6E65D1-8CB5-4F28-883D-A41E6C7B9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46A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46A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46A1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46A1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46A1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46A1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46A1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46A1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46A1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46A1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46A1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46A1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46A1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46A1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46A1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46A1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46A1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46A16"/>
    <w:rPr>
      <w:rFonts w:eastAsiaTheme="majorEastAsia" w:cstheme="majorBidi"/>
      <w:color w:val="272727" w:themeColor="text1" w:themeTint="D8"/>
    </w:rPr>
  </w:style>
  <w:style w:type="paragraph" w:styleId="Titel">
    <w:name w:val="Title"/>
    <w:basedOn w:val="Standard"/>
    <w:next w:val="Standard"/>
    <w:link w:val="TitelZchn"/>
    <w:uiPriority w:val="10"/>
    <w:qFormat/>
    <w:rsid w:val="00046A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46A1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46A1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46A1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46A1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46A16"/>
    <w:rPr>
      <w:i/>
      <w:iCs/>
      <w:color w:val="404040" w:themeColor="text1" w:themeTint="BF"/>
    </w:rPr>
  </w:style>
  <w:style w:type="paragraph" w:styleId="Listenabsatz">
    <w:name w:val="List Paragraph"/>
    <w:basedOn w:val="Standard"/>
    <w:uiPriority w:val="34"/>
    <w:qFormat/>
    <w:rsid w:val="00046A16"/>
    <w:pPr>
      <w:ind w:left="720"/>
      <w:contextualSpacing/>
    </w:pPr>
  </w:style>
  <w:style w:type="character" w:styleId="IntensiveHervorhebung">
    <w:name w:val="Intense Emphasis"/>
    <w:basedOn w:val="Absatz-Standardschriftart"/>
    <w:uiPriority w:val="21"/>
    <w:qFormat/>
    <w:rsid w:val="00046A16"/>
    <w:rPr>
      <w:i/>
      <w:iCs/>
      <w:color w:val="0F4761" w:themeColor="accent1" w:themeShade="BF"/>
    </w:rPr>
  </w:style>
  <w:style w:type="paragraph" w:styleId="IntensivesZitat">
    <w:name w:val="Intense Quote"/>
    <w:basedOn w:val="Standard"/>
    <w:next w:val="Standard"/>
    <w:link w:val="IntensivesZitatZchn"/>
    <w:uiPriority w:val="30"/>
    <w:qFormat/>
    <w:rsid w:val="00046A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46A16"/>
    <w:rPr>
      <w:i/>
      <w:iCs/>
      <w:color w:val="0F4761" w:themeColor="accent1" w:themeShade="BF"/>
    </w:rPr>
  </w:style>
  <w:style w:type="character" w:styleId="IntensiverVerweis">
    <w:name w:val="Intense Reference"/>
    <w:basedOn w:val="Absatz-Standardschriftart"/>
    <w:uiPriority w:val="32"/>
    <w:qFormat/>
    <w:rsid w:val="00046A16"/>
    <w:rPr>
      <w:b/>
      <w:bCs/>
      <w:smallCaps/>
      <w:color w:val="0F4761" w:themeColor="accent1" w:themeShade="BF"/>
      <w:spacing w:val="5"/>
    </w:rPr>
  </w:style>
  <w:style w:type="paragraph" w:customStyle="1" w:styleId="wp-block-paragraph">
    <w:name w:val="wp-block-paragraph"/>
    <w:basedOn w:val="Standard"/>
    <w:rsid w:val="00046A16"/>
    <w:pPr>
      <w:spacing w:before="100" w:beforeAutospacing="1" w:after="100" w:afterAutospacing="1" w:line="240" w:lineRule="auto"/>
    </w:pPr>
    <w:rPr>
      <w:rFonts w:ascii="Times New Roman" w:eastAsia="Times New Roman" w:hAnsi="Times New Roman" w:cs="Times New Roman"/>
      <w:kern w:val="0"/>
      <w:lang w:eastAsia="de-A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1367</Words>
  <Characters>8613</Characters>
  <Application>Microsoft Office Word</Application>
  <DocSecurity>0</DocSecurity>
  <Lines>71</Lines>
  <Paragraphs>19</Paragraphs>
  <ScaleCrop>false</ScaleCrop>
  <Company/>
  <LinksUpToDate>false</LinksUpToDate>
  <CharactersWithSpaces>9961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PC02</dc:creator>
  <cp:keywords/>
  <dc:description/>
  <cp:lastModifiedBy>PC02</cp:lastModifiedBy>
  <cp:revision>1</cp:revision>
  <dcterms:created xsi:type="dcterms:W3CDTF">2026-09-14T14:14:00Z</dcterms:created>
  <dcterms:modified xsi:type="dcterms:W3CDTF">2026-09-14T14:16:00Z</dcterms:modified>
</cp:coreProperties>
</file>